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059669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6.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YILLIK PLAN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GENEL AÇIKLAMALAR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Ders haftada 3 saattir. Toplam 36 hafta planlanmıştır.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Maarif Modeli çerçevesinde hazırlanmıştır.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800"/>
        <w:gridCol w:w="1500"/>
        <w:gridCol w:w="3840"/>
        <w:gridCol w:w="150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 NO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 ADI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SÜRE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AÇIKLAMA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1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BİRLİKTE YAŞAMAK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1-6.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SB.6.1.1. Gruplar ve Roller (Maarif Model)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SB.6.1.2. Toplumsal Birliktelik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SB.6.1.3. Toplumsal Sorunlar ve Çözümler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3B82F6"/>
                <w:sz w:val="20"/>
                <w:szCs w:val="20"/>
              </w:rPr>
              <w:t xml:space="preserve">2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B82F6"/>
                <w:sz w:val="18"/>
                <w:szCs w:val="18"/>
              </w:rPr>
              <w:t xml:space="preserve">EVİMİZ DÜNYA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7-13.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SB.6.2.1. Ülkemizin Katman ve Oluşumlarını Koruma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SB.6.2.2. Doğal ve Beşeri Özellikler (Maarif Model)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SB.6.2.3. Türk Dünyasıyla Kültürel İşbirlikleri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A855F7"/>
                <w:sz w:val="20"/>
                <w:szCs w:val="20"/>
              </w:rPr>
              <w:t xml:space="preserve">3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A855F7"/>
                <w:sz w:val="18"/>
                <w:szCs w:val="18"/>
              </w:rPr>
              <w:t xml:space="preserve">ORTAK MİRASIMIZ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14-20.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SB.6.3.1. Türkistan'da Kurulan Türk Devletleri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SB.6.3.2. İslam Medeniyetinin Ortak Mirası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SB.6.3.3. İslamiyet ile Türklerde Değişim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SB.6.3.4. Askeri Mücadelelerin Anadolu'ya Etkileri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22C55E"/>
                <w:sz w:val="20"/>
                <w:szCs w:val="20"/>
              </w:rPr>
              <w:t xml:space="preserve">4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22C55E"/>
                <w:sz w:val="18"/>
                <w:szCs w:val="18"/>
              </w:rPr>
              <w:t xml:space="preserve">YAŞAYAN DEMOKRASİMİZ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21-26.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SB.6.4.1. Yönetim ve Karar Alma Sürecinde Etkili Unsurlar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SB.6.4.2. Temel Hak ve Sorumluluklar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SB.6.4.3. Dijitalleşme ve Vatandaşlık Bilinci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5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F59E0B"/>
                <w:sz w:val="18"/>
                <w:szCs w:val="18"/>
              </w:rPr>
              <w:t xml:space="preserve">HAYATIMIZDA EKONOMİ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27-32.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SB.6.5.1. Ülkemizin Kaynakları ve Ekonomik Faaliyetler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SB.6.5.2. Ekonomik Faaliyetler ve Meslekler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SB.6.5.3. Tasarlanan Bir Ürünün Yatırım ve Pazarlama Süreci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EC4899"/>
                <w:sz w:val="20"/>
                <w:szCs w:val="20"/>
              </w:rPr>
              <w:t xml:space="preserve">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EC4899"/>
                <w:sz w:val="18"/>
                <w:szCs w:val="18"/>
              </w:rPr>
              <w:t xml:space="preserve">TEKNOLOJİ VE SOSYAL BİLİMLER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33-36.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SB.6.6.1. Ulaşım ve İletişim Teknolojilerinin Kültürel Etkisi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SB.6.6.2. Telif ve Patent Süreci (Maarif Model)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OKUL MÜDÜRÜ ONAYI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5966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İMZASI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</w:tr>
    </w:tbl>
    <w:sectPr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2026-04-10T16:35:01.068Z</dcterms:created>
  <dcterms:modified xsi:type="dcterms:W3CDTF">2026-04-10T16:35:01.068Z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